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3E32">
      <w:pPr>
        <w:suppressAutoHyphens/>
        <w:jc w:val="center"/>
        <w:rPr>
          <w:rFonts w:ascii="Arial" w:hAnsi="Arial"/>
          <w:b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sz w:val="22"/>
          <w:u w:val="single"/>
        </w:rPr>
        <w:t>WAKE TURBULENCE</w:t>
      </w:r>
    </w:p>
    <w:p w:rsidR="00000000" w:rsidRDefault="00D13E32">
      <w:pPr>
        <w:suppressAutoHyphens/>
        <w:jc w:val="center"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As the lift producing airfoil passes through the air, the air rolls up and back about each wing tip producing two distinct counter-rotating vortices, one trailing each wing tip.  The intensity of the turbulence within these vortices is dir</w:t>
      </w:r>
      <w:r>
        <w:rPr>
          <w:rFonts w:ascii="Arial" w:hAnsi="Arial"/>
        </w:rPr>
        <w:t>ectly proportional to its weight and inversely proportional to its wingspan and speed of the airplane.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</w:p>
    <w:p w:rsidR="00000000" w:rsidRDefault="00D13E32">
      <w:pPr>
        <w:pStyle w:val="Heading1"/>
      </w:pPr>
      <w:r>
        <w:rPr>
          <w:u w:val="single"/>
        </w:rPr>
        <w:t>INTENSITY OF WAKE TURBULENCE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The heavier and slower the airplane the greater intensity of air circulation in the vortex cores.  The most violent vort</w:t>
      </w:r>
      <w:r>
        <w:rPr>
          <w:rFonts w:ascii="Arial" w:hAnsi="Arial"/>
        </w:rPr>
        <w:t>ices are generated during take-off and landing.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pStyle w:val="Heading2"/>
      </w:pPr>
      <w:r>
        <w:t>AIR DENSITY</w:t>
      </w:r>
    </w:p>
    <w:p w:rsidR="00000000" w:rsidRDefault="00D13E32">
      <w:pPr>
        <w:pStyle w:val="EndnoteTex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0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In cold air the vortices can be expected to be more severe.  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pStyle w:val="Heading2"/>
        <w:jc w:val="center"/>
      </w:pPr>
      <w:r>
        <w:t>VORTEX STRENGTH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The greatest vortex strength occurs under conditions of clean configuration, high weight and slow speed. 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FA</w:t>
      </w:r>
      <w:r>
        <w:rPr>
          <w:rFonts w:ascii="Arial" w:hAnsi="Arial"/>
          <w:b/>
          <w:u w:val="single"/>
        </w:rPr>
        <w:t>CTORS THAT AFFECT VORTEX STRENGTH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000000" w:rsidRDefault="00D13E32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Configuration of the airplane</w:t>
      </w:r>
    </w:p>
    <w:p w:rsidR="00000000" w:rsidRDefault="00D13E32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Flaps</w:t>
      </w:r>
    </w:p>
    <w:p w:rsidR="00000000" w:rsidRDefault="00D13E32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Undercarriage</w:t>
      </w:r>
    </w:p>
    <w:p w:rsidR="00000000" w:rsidRDefault="00D13E32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Location of engine</w:t>
      </w:r>
    </w:p>
    <w:p w:rsidR="00000000" w:rsidRDefault="00D13E32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  <w:lang w:val="fr-CA"/>
        </w:rPr>
        <w:t>Tail configuration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360"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HAZARDS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u w:val="single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</w:rPr>
        <w:t>Vertical gusts encountered when crossing laterally through the vortex can impose structural loads as high as 10gs on a smal</w:t>
      </w:r>
      <w:r>
        <w:rPr>
          <w:rFonts w:ascii="Arial" w:hAnsi="Arial"/>
        </w:rPr>
        <w:t>l airplane.  The combination of upward and downward gusts has been estimated as high as 80’/sec.  Most small airplanes are designed to handle 30’/sec.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pStyle w:val="Heading2"/>
      </w:pPr>
      <w:r>
        <w:t>STRUCTURAL DAMAGE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There is a possibility of structural failure when an aircraft crosses a pair of vorti</w:t>
      </w:r>
      <w:r>
        <w:rPr>
          <w:rFonts w:ascii="Arial" w:hAnsi="Arial"/>
        </w:rPr>
        <w:t>ces.  The strong up and down forces combined and the pilot’s attempt to counteract them will result in loss of control and airframe design limits being exceeded.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pStyle w:val="Heading2"/>
      </w:pPr>
      <w:r>
        <w:t>VORTEX GENERATION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</w:rPr>
      </w:pPr>
    </w:p>
    <w:p w:rsidR="00000000" w:rsidRDefault="00D13E32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Vortex generation starts at rotation (the raising of the nose from the run</w:t>
      </w:r>
      <w:r>
        <w:rPr>
          <w:rFonts w:ascii="Arial" w:hAnsi="Arial"/>
        </w:rPr>
        <w:t>way) and increases in intensity at lift off when full weight of the aircraft is sustained by the wings.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It ends when the airplane touches down.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Vortices may trail as far as 10 to 16 miles depending on the airspeed of the aircraft.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Wake turbulence usuall</w:t>
      </w:r>
      <w:r>
        <w:rPr>
          <w:rFonts w:ascii="Arial" w:hAnsi="Arial"/>
        </w:rPr>
        <w:t>y dissipates after two minutes.  But can remain as long as five minutes.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br w:type="page"/>
      </w:r>
    </w:p>
    <w:p w:rsidR="00000000" w:rsidRDefault="00D13E32">
      <w:pPr>
        <w:pStyle w:val="Heading2"/>
      </w:pPr>
      <w:r>
        <w:t>CROSSWIND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Vortices tend to move laterally outward over the ground at a speed of about 5 knots.  This means that the vortices may position themselves parallel to the runway and cons</w:t>
      </w:r>
      <w:r>
        <w:rPr>
          <w:rFonts w:ascii="Arial" w:hAnsi="Arial"/>
        </w:rPr>
        <w:t>titute a hazard to aircraft operating in that area.  Crosswind effects wake turbulence.  The stronger the cross wind, the more vortices get blown to the side.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lang w:val="fr-CA"/>
        </w:rPr>
      </w:pPr>
      <w:r>
        <w:rPr>
          <w:rFonts w:ascii="Arial" w:hAnsi="Arial"/>
          <w:b/>
          <w:u w:val="single"/>
          <w:lang w:val="fr-CA"/>
        </w:rPr>
        <w:t xml:space="preserve">WAKE TURBULENCE </w:t>
      </w:r>
      <w:r>
        <w:rPr>
          <w:rFonts w:ascii="Arial" w:hAnsi="Arial"/>
          <w:b/>
          <w:u w:val="single"/>
          <w:lang w:val="en-CA"/>
        </w:rPr>
        <w:t>AVOIDANCE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lang w:val="fr-CA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During Flight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Although wake turbulence is most likely to be encount</w:t>
      </w:r>
      <w:r>
        <w:rPr>
          <w:rFonts w:ascii="Arial" w:hAnsi="Arial"/>
        </w:rPr>
        <w:t>ered during arrival and departure, it can be a hazard at cruising altitudes as well.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Avoid crossing behind and less than 1000’ below the flight path of large, heavy aircraft, especially at low altitudes.</w:t>
      </w:r>
    </w:p>
    <w:p w:rsidR="00000000" w:rsidRDefault="00D13E32">
      <w:pPr>
        <w:pStyle w:val="EndnoteTex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0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During Taxi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Stay well behind large aircraft that </w:t>
      </w:r>
      <w:r>
        <w:rPr>
          <w:rFonts w:ascii="Arial" w:hAnsi="Arial"/>
        </w:rPr>
        <w:t xml:space="preserve">are taxiing or maneuvering on the ground.  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Avoid going behind aircraft doing a run-up. 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Avoid taxiing below a hovering helicopter (the down wash is significant and hazardous).</w:t>
      </w:r>
    </w:p>
    <w:p w:rsidR="00000000" w:rsidRDefault="00D13E32">
      <w:pPr>
        <w:pStyle w:val="EndnoteTex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0"/>
        </w:rPr>
      </w:pPr>
    </w:p>
    <w:p w:rsidR="00000000" w:rsidRDefault="00D13E32">
      <w:pPr>
        <w:pStyle w:val="Heading1"/>
      </w:pPr>
      <w:r>
        <w:t>During Take-off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Stay up wind of a large airplane.  This action and normal c</w:t>
      </w:r>
      <w:r>
        <w:rPr>
          <w:rFonts w:ascii="Arial" w:hAnsi="Arial"/>
        </w:rPr>
        <w:t xml:space="preserve">limb should keep you above the descending vortices of the preceding airplane.  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When following an aircraft that has just landed plan to be airborne beyond the point of touchdown of that aircraft. 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For an intersecting runway, plan to be airborne before yo</w:t>
      </w:r>
      <w:r>
        <w:rPr>
          <w:rFonts w:ascii="Arial" w:hAnsi="Arial"/>
        </w:rPr>
        <w:t>u cross the intersection.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During Landing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When following a heavier aircraft that has just taken off, plan to touch down before the rotation point.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When following an aircraft that has just landed plan to touch down beyond the point where the preceding air</w:t>
      </w:r>
      <w:r>
        <w:rPr>
          <w:rFonts w:ascii="Arial" w:hAnsi="Arial"/>
        </w:rPr>
        <w:t>craft touched down</w:t>
      </w:r>
    </w:p>
    <w:p w:rsidR="00000000" w:rsidRDefault="00D13E32">
      <w:pPr>
        <w:pStyle w:val="EndnoteTex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0"/>
        </w:rPr>
      </w:pPr>
    </w:p>
    <w:p w:rsidR="00000000" w:rsidRDefault="00D13E32">
      <w:pPr>
        <w:pStyle w:val="Heading1"/>
      </w:pPr>
      <w:r>
        <w:t>Above All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Avoid a long dragged in approach.  The largest number of dangerous encounters with wake turbulence has been in the last half mile of approach.  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u w:val="single"/>
        </w:rPr>
        <w:lastRenderedPageBreak/>
        <w:t>ATC ADVISEMENT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ATC cannot guarantee that wake turbulence will not be encounter</w:t>
      </w:r>
      <w:r>
        <w:rPr>
          <w:rFonts w:ascii="Arial" w:hAnsi="Arial"/>
        </w:rPr>
        <w:t>ed.  When the ATC advises, “</w:t>
      </w:r>
      <w:r>
        <w:rPr>
          <w:rFonts w:ascii="Arial" w:hAnsi="Arial"/>
          <w:b/>
        </w:rPr>
        <w:t>CAUTION WAKE TURBULENCE</w:t>
      </w:r>
      <w:r>
        <w:rPr>
          <w:rFonts w:ascii="Arial" w:hAnsi="Arial"/>
        </w:rPr>
        <w:t>”, he is warning you of the possible existence of wake turbulence.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pStyle w:val="Heading3"/>
      </w:pPr>
      <w:r>
        <w:t>AVOIDANCE RESPONSIBILITY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It is the sole responsibility of the pilot in command (PIC).  Even though you have received a clearance to lan</w:t>
      </w:r>
      <w:r>
        <w:rPr>
          <w:rFonts w:ascii="Arial" w:hAnsi="Arial"/>
        </w:rPr>
        <w:t>d or take off, if you believe it is safer to wait then ask the controller to do so.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000000" w:rsidRDefault="00D13E32">
      <w:pPr>
        <w:pStyle w:val="Heading3"/>
      </w:pPr>
      <w:r>
        <w:t>HUMAN FACTORS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000000" w:rsidRDefault="00D13E32">
      <w:pPr>
        <w:pStyle w:val="BodyTextIndent"/>
        <w:tabs>
          <w:tab w:val="clear" w:pos="720"/>
          <w:tab w:val="clear" w:pos="1440"/>
          <w:tab w:val="clear" w:pos="2070"/>
          <w:tab w:val="clear" w:pos="2880"/>
          <w:tab w:val="left" w:pos="-270"/>
        </w:tabs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Hypoxia</w:t>
      </w:r>
    </w:p>
    <w:p w:rsidR="00000000" w:rsidRDefault="00D13E32">
      <w:pPr>
        <w:pStyle w:val="BodyTextIndent"/>
        <w:tabs>
          <w:tab w:val="clear" w:pos="720"/>
          <w:tab w:val="clear" w:pos="1440"/>
          <w:tab w:val="clear" w:pos="2070"/>
          <w:tab w:val="clear" w:pos="2880"/>
          <w:tab w:val="left" w:pos="-270"/>
        </w:tabs>
        <w:ind w:left="0" w:firstLine="0"/>
        <w:rPr>
          <w:rFonts w:ascii="Arial" w:hAnsi="Arial"/>
          <w:b/>
          <w:sz w:val="20"/>
        </w:rPr>
      </w:pPr>
    </w:p>
    <w:p w:rsidR="00000000" w:rsidRDefault="00D13E32">
      <w:pPr>
        <w:pStyle w:val="BodyTextIndent"/>
        <w:tabs>
          <w:tab w:val="clear" w:pos="720"/>
          <w:tab w:val="clear" w:pos="1440"/>
          <w:tab w:val="clear" w:pos="2070"/>
          <w:tab w:val="clear" w:pos="2880"/>
          <w:tab w:val="left" w:pos="-27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 lack of sufficient oxygen in the body cells or tissues.  The Canadian Aviation Regulations rule that when flying, by day, over 10 000 feet to 13</w:t>
      </w:r>
      <w:r>
        <w:rPr>
          <w:rFonts w:ascii="Arial" w:hAnsi="Arial"/>
          <w:sz w:val="20"/>
        </w:rPr>
        <w:t xml:space="preserve"> 000 feet for more than 30 minutes or above 13 000 feet, you must carry a supply of oxygen of at least 2 hours for every crewmember.</w:t>
      </w:r>
    </w:p>
    <w:p w:rsidR="00000000" w:rsidRDefault="00D13E32">
      <w:pPr>
        <w:pStyle w:val="BodyTextIndent"/>
        <w:tabs>
          <w:tab w:val="clear" w:pos="2070"/>
        </w:tabs>
        <w:ind w:left="2070" w:hanging="2070"/>
        <w:rPr>
          <w:rFonts w:ascii="Arial" w:hAnsi="Arial"/>
          <w:b/>
          <w:sz w:val="20"/>
        </w:rPr>
      </w:pPr>
    </w:p>
    <w:p w:rsidR="00000000" w:rsidRDefault="00D13E32">
      <w:pPr>
        <w:pStyle w:val="BodyTextIndent3"/>
        <w:tabs>
          <w:tab w:val="clear" w:pos="72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Blood donation</w:t>
      </w:r>
    </w:p>
    <w:p w:rsidR="00000000" w:rsidRDefault="00D13E32">
      <w:pPr>
        <w:pStyle w:val="BodyTextIndent3"/>
        <w:tabs>
          <w:tab w:val="clear" w:pos="720"/>
        </w:tabs>
        <w:rPr>
          <w:rFonts w:ascii="Arial" w:hAnsi="Arial"/>
          <w:sz w:val="20"/>
        </w:rPr>
      </w:pPr>
    </w:p>
    <w:p w:rsidR="00000000" w:rsidRDefault="00D13E32">
      <w:pPr>
        <w:pStyle w:val="BodyTextIndent3"/>
        <w:tabs>
          <w:tab w:val="clear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It is recommended to wait 48 hours before flying after blood donation.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050"/>
          <w:tab w:val="left" w:pos="4320"/>
        </w:tabs>
        <w:suppressAutoHyphens/>
        <w:ind w:left="720" w:hanging="2070"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144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Alcohol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144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144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The rule for both pilot a</w:t>
      </w:r>
      <w:r>
        <w:rPr>
          <w:rFonts w:ascii="Arial" w:hAnsi="Arial"/>
        </w:rPr>
        <w:t>nd passenger in relation to alcohol quite simply should be “</w:t>
      </w:r>
      <w:r>
        <w:rPr>
          <w:rFonts w:ascii="Arial" w:hAnsi="Arial"/>
          <w:b/>
        </w:rPr>
        <w:t xml:space="preserve">No alcohol in the system when you fly”.  </w:t>
      </w:r>
      <w:r>
        <w:rPr>
          <w:rFonts w:ascii="Arial" w:hAnsi="Arial"/>
        </w:rPr>
        <w:t>Canadian Aviation Regulations require that a pilot allow at least 8 hours between the consumption of alcohol and flying and 48 hours after excessive drinki</w:t>
      </w:r>
      <w:r>
        <w:rPr>
          <w:rFonts w:ascii="Arial" w:hAnsi="Arial"/>
        </w:rPr>
        <w:t>ng.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050"/>
          <w:tab w:val="left" w:pos="4320"/>
        </w:tabs>
        <w:suppressAutoHyphens/>
        <w:ind w:left="720" w:hanging="2070"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Drugs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Do not self-medicate.  Drugs, as well as the conditions for which they are taken, can interfere with the efficiency of the pilot and can be extremely dangerous.</w:t>
      </w:r>
    </w:p>
    <w:p w:rsidR="00000000" w:rsidRDefault="00D13E32">
      <w:pPr>
        <w:tabs>
          <w:tab w:val="left" w:pos="-108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00000" w:rsidRDefault="00D13E32">
      <w:pPr>
        <w:tabs>
          <w:tab w:val="left" w:pos="-108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sectPr w:rsidR="00000000">
      <w:footerReference w:type="default" r:id="rId8"/>
      <w:pgSz w:w="12240" w:h="15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32" w:rsidRDefault="00D13E32" w:rsidP="00D13E32">
      <w:r>
        <w:separator/>
      </w:r>
    </w:p>
  </w:endnote>
  <w:endnote w:type="continuationSeparator" w:id="0">
    <w:p w:rsidR="00D13E32" w:rsidRDefault="00D13E32" w:rsidP="00D1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32" w:rsidRDefault="00D13E32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13E32" w:rsidRDefault="00D13E32" w:rsidP="00D13E32">
    <w:pPr>
      <w:tabs>
        <w:tab w:val="left" w:pos="-1080"/>
        <w:tab w:val="left" w:pos="-720"/>
        <w:tab w:val="left" w:pos="0"/>
        <w:tab w:val="left" w:pos="117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>
      <w:rPr>
        <w:rFonts w:ascii="Arial" w:hAnsi="Arial"/>
      </w:rPr>
      <w:t>AIR 405-01</w:t>
    </w:r>
  </w:p>
  <w:p w:rsidR="00D13E32" w:rsidRDefault="00D13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32" w:rsidRDefault="00D13E32" w:rsidP="00D13E32">
      <w:r>
        <w:separator/>
      </w:r>
    </w:p>
  </w:footnote>
  <w:footnote w:type="continuationSeparator" w:id="0">
    <w:p w:rsidR="00D13E32" w:rsidRDefault="00D13E32" w:rsidP="00D1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5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B750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720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566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C80C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D22D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4A7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764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32"/>
    <w:rsid w:val="00D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z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070"/>
        <w:tab w:val="left" w:pos="2880"/>
        <w:tab w:val="left" w:pos="3600"/>
        <w:tab w:val="left" w:pos="4050"/>
        <w:tab w:val="left" w:pos="4320"/>
      </w:tabs>
      <w:suppressAutoHyphens/>
      <w:ind w:left="1890" w:hanging="1170"/>
    </w:pPr>
    <w:rPr>
      <w:sz w:val="24"/>
    </w:rPr>
  </w:style>
  <w:style w:type="paragraph" w:styleId="BodyTextIndent3">
    <w:name w:val="Body Text Indent 3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720" w:hanging="720"/>
    </w:pPr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D13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3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3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3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z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070"/>
        <w:tab w:val="left" w:pos="2880"/>
        <w:tab w:val="left" w:pos="3600"/>
        <w:tab w:val="left" w:pos="4050"/>
        <w:tab w:val="left" w:pos="4320"/>
      </w:tabs>
      <w:suppressAutoHyphens/>
      <w:ind w:left="1890" w:hanging="1170"/>
    </w:pPr>
    <w:rPr>
      <w:sz w:val="24"/>
    </w:rPr>
  </w:style>
  <w:style w:type="paragraph" w:styleId="BodyTextIndent3">
    <w:name w:val="Body Text Indent 3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720" w:hanging="720"/>
    </w:pPr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D13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3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3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3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XU2HWC25C2RX-67-910</_dlc_DocId>
    <_dlc_DocIdUrl xmlns="086fa123-7b87-4d5e-a5fa-e97a9035ac64">
      <Url>https://collab.cadets.gc.ca/sites/atl/Air/DebertCFTC/_layouts/DocIdRedir.aspx?ID=XU2HWC25C2RX-67-910</Url>
      <Description>XU2HWC25C2RX-67-910</Description>
    </_dlc_DocIdUrl>
  </documentManagement>
</p:properties>
</file>

<file path=customXml/itemProps1.xml><?xml version="1.0" encoding="utf-8"?>
<ds:datastoreItem xmlns:ds="http://schemas.openxmlformats.org/officeDocument/2006/customXml" ds:itemID="{0B1E8B7C-D316-4A42-AEEF-23CAE6E07BC8}"/>
</file>

<file path=customXml/itemProps2.xml><?xml version="1.0" encoding="utf-8"?>
<ds:datastoreItem xmlns:ds="http://schemas.openxmlformats.org/officeDocument/2006/customXml" ds:itemID="{0A89E956-27D6-4458-B211-09B2B9290159}"/>
</file>

<file path=customXml/itemProps3.xml><?xml version="1.0" encoding="utf-8"?>
<ds:datastoreItem xmlns:ds="http://schemas.openxmlformats.org/officeDocument/2006/customXml" ds:itemID="{34220CB2-897F-4891-94DA-7A2C2F1AECEC}"/>
</file>

<file path=customXml/itemProps4.xml><?xml version="1.0" encoding="utf-8"?>
<ds:datastoreItem xmlns:ds="http://schemas.openxmlformats.org/officeDocument/2006/customXml" ds:itemID="{0A89E956-27D6-4458-B211-09B2B9290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Turbulence:</vt:lpstr>
    </vt:vector>
  </TitlesOfParts>
  <Company>DND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Turbulence:</dc:title>
  <dc:creator>12 Wing IT</dc:creator>
  <cp:lastModifiedBy>Michael MacAulay</cp:lastModifiedBy>
  <cp:revision>2</cp:revision>
  <cp:lastPrinted>2002-12-15T17:09:00Z</cp:lastPrinted>
  <dcterms:created xsi:type="dcterms:W3CDTF">2016-10-06T14:51:00Z</dcterms:created>
  <dcterms:modified xsi:type="dcterms:W3CDTF">2016-10-06T14:51:00Z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58386dc9-d648-4e0e-8d4d-ebca1fa32b43</vt:lpwstr>
  </property>
</Properties>
</file>